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Solicitud de transferencia bancaria para pagos de la Tesorería de la Generalitat de Cataluña (área SEPA)</w:t>
      </w:r>
    </w:p>
    <w:p w:rsidR="00000000" w:rsidDel="00000000" w:rsidP="00000000" w:rsidRDefault="00000000" w:rsidRPr="00000000" w14:paraId="00000002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Acreedor o acreedora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highlight w:val="black"/>
          <w:rtl w:val="0"/>
        </w:rPr>
        <w:br w:type="textWrapping"/>
      </w:r>
      <w:r w:rsidDel="00000000" w:rsidR="00000000" w:rsidRPr="00000000">
        <w:rPr>
          <w:rtl w:val="0"/>
        </w:rPr>
        <w:t xml:space="preserve">NIF</w:t>
        <w:br w:type="textWrapping"/>
        <w:t xml:space="preserve">Dirección</w:t>
        <w:br w:type="textWrapping"/>
        <w:t xml:space="preserve">Código postal</w:t>
        <w:br w:type="textWrapping"/>
        <w:t xml:space="preserve">Correo electrónico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after="0" w:before="0" w:lineRule="auto"/>
        <w:rPr>
          <w:b w:val="1"/>
          <w:color w:val="000000"/>
          <w:sz w:val="26"/>
          <w:szCs w:val="26"/>
        </w:rPr>
      </w:pPr>
      <w:bookmarkStart w:colFirst="0" w:colLast="0" w:name="_qgtawaluyen7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Alta de datos bancarios1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Denominación de la entidad bancaria o de ahorro</w:t>
        <w:br w:type="textWrapping"/>
        <w:t xml:space="preserve">Código IBAN</w:t>
        <w:br w:type="textWrapping"/>
        <w:t xml:space="preserve">Dirección</w:t>
        <w:br w:type="textWrapping"/>
        <w:t xml:space="preserve">Código postal</w:t>
        <w:br w:type="textWrapping"/>
        <w:t xml:space="preserve">Diligencia de conformidad de la entidad de crédito (firmada y sellada)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1 Es imprescindible el código IBAN y el código SWIFT/BIC. Los datos deben rellenarse comenzando por la izquierda.</w:t>
        <w:br w:type="textWrapping"/>
        <w:t xml:space="preserve">El acreedor o acreedora debe firmar siempre esta solicitud (ya sea para solicitar solo un alta o una baja, o tanto un alta como una baja). Si el titular de la cuenta es una persona física, basta con que aporte una fotocopia de la libreta de ahorros, cheque o extracto enviado por el banco u otro documento que indique el nombre del titular y el número de cuenta IBAN.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after="0" w:before="0" w:lineRule="auto"/>
        <w:rPr>
          <w:b w:val="1"/>
          <w:color w:val="000000"/>
          <w:sz w:val="26"/>
          <w:szCs w:val="26"/>
        </w:rPr>
      </w:pPr>
      <w:bookmarkStart w:colFirst="0" w:colLast="0" w:name="_s1yr43xw7frp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Baja de datos bancarios</w:t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Solicito que se den de baja los siguientes datos bancarios:</w:t>
        <w:br w:type="textWrapping"/>
        <w:t xml:space="preserve">Código IBAN</w:t>
        <w:br w:type="textWrapping"/>
        <w:t xml:space="preserve">CCC</w:t>
        <w:br w:type="textWrapping"/>
        <w:t xml:space="preserve">Solicito que se den de baja todos los datos bancarios, anteriores a esta solicitud, que constan en el archivo de terceros de la Generalitat de Cataluña.</w:t>
        <w:br w:type="textWrapping"/>
        <w:t xml:space="preserve">Firma del acreedor o acreedora</w:t>
        <w:br w:type="textWrapping"/>
        <w:t xml:space="preserve">Localidad y fecha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after="0" w:before="0" w:lineRule="auto"/>
        <w:rPr>
          <w:b w:val="1"/>
          <w:color w:val="000000"/>
          <w:sz w:val="26"/>
          <w:szCs w:val="26"/>
        </w:rPr>
      </w:pPr>
      <w:bookmarkStart w:colFirst="0" w:colLast="0" w:name="_l0bog3ssk2ho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Información básica de protección de datos</w:t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Identificación del tratamiento:</w:t>
      </w:r>
      <w:r w:rsidDel="00000000" w:rsidR="00000000" w:rsidRPr="00000000">
        <w:rPr>
          <w:rtl w:val="0"/>
        </w:rPr>
        <w:t xml:space="preserve"> Gestión y control de los pagos y cobros a personas acreedoras y deudoras de la Administración de la Generalitat de Cataluña y su sector público.</w:t>
        <w:br w:type="textWrapping"/>
      </w:r>
      <w:r w:rsidDel="00000000" w:rsidR="00000000" w:rsidRPr="00000000">
        <w:rPr>
          <w:b w:val="1"/>
          <w:rtl w:val="0"/>
        </w:rPr>
        <w:t xml:space="preserve">Responsable del tratamiento:</w:t>
      </w:r>
      <w:r w:rsidDel="00000000" w:rsidR="00000000" w:rsidRPr="00000000">
        <w:rPr>
          <w:rtl w:val="0"/>
        </w:rPr>
        <w:t xml:space="preserve"> Intervención Adjunta para la Contabilidad.</w:t>
        <w:br w:type="textWrapping"/>
      </w:r>
      <w:r w:rsidDel="00000000" w:rsidR="00000000" w:rsidRPr="00000000">
        <w:rPr>
          <w:b w:val="1"/>
          <w:rtl w:val="0"/>
        </w:rPr>
        <w:t xml:space="preserve">Finalidad del tratamiento:</w:t>
      </w:r>
      <w:r w:rsidDel="00000000" w:rsidR="00000000" w:rsidRPr="00000000">
        <w:rPr>
          <w:rtl w:val="0"/>
        </w:rPr>
        <w:t xml:space="preserve"> Recoger los datos personales necesarios para la gestión y el control de los pagos y cobros a personas acreedoras, deudoras y depositantes de garantías y depósitos de la Administración de la Generalitat de Cataluña y su sector público.</w:t>
        <w:br w:type="textWrapping"/>
      </w:r>
      <w:r w:rsidDel="00000000" w:rsidR="00000000" w:rsidRPr="00000000">
        <w:rPr>
          <w:b w:val="1"/>
          <w:rtl w:val="0"/>
        </w:rPr>
        <w:t xml:space="preserve">Derechos de las personas interesadas:</w:t>
      </w:r>
      <w:r w:rsidDel="00000000" w:rsidR="00000000" w:rsidRPr="00000000">
        <w:rPr>
          <w:rtl w:val="0"/>
        </w:rPr>
        <w:t xml:space="preserve"> Puede solicitar el acceso, rectificación, supresión o limitación del tratamiento de sus datos. También puede oponerse al tratamiento. Más información sobre el procedimiento para ejercer sus derechos en: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http://economia.gencat.cat/ca/departament/proteccio-dades/drets/</w:t>
          <w:br w:type="textWrapping"/>
        </w:r>
      </w:hyperlink>
      <w:r w:rsidDel="00000000" w:rsidR="00000000" w:rsidRPr="00000000">
        <w:rPr>
          <w:b w:val="1"/>
          <w:rtl w:val="0"/>
        </w:rPr>
        <w:t xml:space="preserve">Información adicional:</w:t>
      </w:r>
      <w:r w:rsidDel="00000000" w:rsidR="00000000" w:rsidRPr="00000000">
        <w:rPr>
          <w:rtl w:val="0"/>
        </w:rPr>
        <w:t xml:space="preserve"> Para ampliar esta información y conocer los detalles de este tratamiento: http://economia.gencat.cat/ca/departament/proteccio-dades/informacio-trataments/unitats-responsables/pagaments-cobraments-creditors-deutors/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economia.gencat.cat/ca/departament/proteccio-dades/dr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